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>
  <w:body>
    <w:p>
      <w:r>
        <w:drawing>
          <wp:inline distT="0" distB="0" distL="0" distR="0">
            <wp:extent cx="5972175" cy="942975"/>
            <wp:docPr id="1" name="Image1"/>
            <a:graphic>
              <a:graphicData uri="http://schemas.openxmlformats.org/drawingml/2006/picture">
                <pic:pic>
                  <pic:nvPicPr>
                    <pic:cNvPr id="1" name="Image1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Bdr>
          <w:bottom w:val="single" w:sz="4" w:space="4" w:color="000000"/>
        </w:pBdr>
        <w:spacing w:before="550" w:after="0" w:line="328" w:lineRule="exact"/>
        <w:jc w:val="center"/>
      </w:pPr>
      <w:r>
        <w:rPr>
          <w:rFonts w:ascii="Arial" w:hAnsi="Arial" w:eastAsia="Arial" w:cs="Arial"/>
          <w:b/>
          <w:bCs/>
          <w:i w:val="0"/>
          <w:iCs w:val="0"/>
          <w:color w:val="000000"/>
          <w:sz w:val="28"/>
          <w:szCs w:val="28"/>
          <w:kern w:val="2"/>
        </w:rPr>
        <w:t xml:space="preserve">P</w:t>
      </w:r>
      <w:r>
        <w:rPr>
          <w:rFonts w:ascii="Arial 2" w:hAnsi="Arial 2" w:eastAsia="Arial 2" w:cs="Arial 2"/>
          <w:b/>
          <w:bCs/>
          <w:i w:val="0"/>
          <w:iCs w:val="0"/>
          <w:color w:val="000000"/>
          <w:sz w:val="28"/>
          <w:szCs w:val="28"/>
          <w:kern w:val="2"/>
        </w:rPr>
        <w:t xml:space="preserve">lán EVVO na školní rok 20</w:t>
      </w:r>
      <w:r>
        <w:rPr>
          <w:rFonts w:ascii="Arial" w:hAnsi="Arial" w:eastAsia="Arial" w:cs="Arial"/>
          <w:b/>
          <w:bCs/>
          <w:i w:val="0"/>
          <w:iCs w:val="0"/>
          <w:color w:val="000000"/>
          <w:sz w:val="28"/>
          <w:szCs w:val="28"/>
          <w:kern w:val="2"/>
        </w:rPr>
        <w:t xml:space="preserve">25/2026</w:t>
      </w:r>
    </w:p>
    <w:p>
      <w:pPr>
        <w:numPr>
          <w:ilvl w:val="0"/>
          <w:numId w:val="1"/>
        </w:numPr>
        <w:spacing w:before="241" w:line="280" w:lineRule="exact"/>
        <w:ind w:left="409" w:hanging="356"/>
        <w:rPr>
          <w:color w:val="000000"/>
        </w:rPr>
      </w:pPr>
      <w:r>
        <w:rPr>
          <w:rFonts w:ascii="Arial 2" w:hAnsi="Arial 2" w:eastAsia="Arial 2" w:cs="Arial 2"/>
          <w:b/>
          <w:bCs/>
          <w:i w:val="0"/>
          <w:iCs w:val="0"/>
          <w:color w:val="000000"/>
          <w:sz w:val="24"/>
          <w:szCs w:val="24"/>
          <w:kern w:val="2"/>
        </w:rPr>
        <w:t xml:space="preserve">Úvod</w:t>
      </w:r>
    </w:p>
    <w:p>
      <w:pPr>
        <w:spacing w:before="111" w:line="276" w:lineRule="exact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Obchodní akademie, Střední odborná škola a Jazyková škola s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právem státní jazykové zkoušky, Hradec Králové působí v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budově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na Pospíšilově třídě v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Hradci Králové.</w:t>
      </w:r>
    </w:p>
    <w:p>
      <w:pPr>
        <w:spacing w:before="244" w:line="276" w:lineRule="exact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Škola vzdělává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žáky ve čtyřech oborech vzdělávání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:</w:t>
      </w:r>
    </w:p>
    <w:p>
      <w:pPr>
        <w:spacing w:line="276" w:lineRule="exact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Sociální činnost</w:t>
      </w:r>
    </w:p>
    <w:p>
      <w:pPr>
        <w:spacing w:line="276" w:lineRule="exact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Veřejnosprávní činnost</w:t>
      </w:r>
    </w:p>
    <w:p>
      <w:pPr>
        <w:spacing w:line="276" w:lineRule="exact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Obchodní akademie</w:t>
      </w:r>
    </w:p>
    <w:p>
      <w:pPr>
        <w:spacing w:line="277" w:lineRule="exact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Ekonomické lyceum 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s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rozšířenou výukou ANJ</w:t>
      </w:r>
    </w:p>
    <w:p>
      <w:pPr>
        <w:spacing w:before="244" w:line="276" w:lineRule="exact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Plán EVVO je sestaven tak, aby principy environmentální výchovy byly prosazovány 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v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průběhu celého vzdělávacího procesu.</w:t>
      </w:r>
    </w:p>
    <w:p>
      <w:pPr>
        <w:numPr>
          <w:ilvl w:val="0"/>
          <w:numId w:val="2"/>
        </w:numPr>
        <w:spacing w:before="444" w:line="280" w:lineRule="exact"/>
        <w:ind w:left="568" w:hanging="568"/>
        <w:rPr>
          <w:color w:val="000000"/>
        </w:rPr>
      </w:pPr>
      <w:r>
        <w:rPr>
          <w:rFonts w:ascii="Arial 2" w:hAnsi="Arial 2" w:eastAsia="Arial 2" w:cs="Arial 2"/>
          <w:b/>
          <w:bCs/>
          <w:i w:val="0"/>
          <w:iCs w:val="0"/>
          <w:color w:val="000000"/>
          <w:sz w:val="24"/>
          <w:szCs w:val="24"/>
          <w:kern w:val="2"/>
        </w:rPr>
        <w:t xml:space="preserve">Začlenění EVVO do ŠVP</w:t>
      </w:r>
    </w:p>
    <w:p>
      <w:pPr>
        <w:tabs>
          <w:tab w:val="left" w:pos="1186"/>
        </w:tabs>
        <w:spacing w:before="107" w:line="280" w:lineRule="exact"/>
        <w:ind w:left="568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2.1. </w:t>
      </w:r>
      <w:r>
        <w:tab/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Začlenění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témat EVVO do celoročních tematických plánů jednotlivých</w:t>
      </w:r>
    </w:p>
    <w:p>
      <w:pPr>
        <w:tabs>
          <w:tab w:val="left" w:pos="5720"/>
          <w:tab w:val="left" w:pos="6428"/>
          <w:tab w:val="left" w:pos="7136"/>
        </w:tabs>
        <w:spacing w:line="277" w:lineRule="exact"/>
        <w:ind w:left="1133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vyučovacích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předmětů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(dle ŠVP)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 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</w:p>
    <w:p>
      <w:pPr>
        <w:tabs>
          <w:tab w:val="left" w:pos="2030"/>
          <w:tab w:val="left" w:pos="2739"/>
          <w:tab w:val="left" w:pos="3447"/>
          <w:tab w:val="left" w:pos="4155"/>
          <w:tab w:val="left" w:pos="4863"/>
          <w:tab w:val="left" w:pos="5572"/>
          <w:tab w:val="left" w:pos="6280"/>
          <w:tab w:val="left" w:pos="6988"/>
          <w:tab w:val="left" w:pos="7697"/>
        </w:tabs>
        <w:spacing w:before="240" w:line="280" w:lineRule="exact"/>
        <w:jc w:val="center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T: trvale</w:t>
      </w:r>
    </w:p>
    <w:p>
      <w:pPr>
        <w:numPr>
          <w:ilvl w:val="0"/>
          <w:numId w:val="3"/>
        </w:numPr>
        <w:spacing w:before="444" w:line="280" w:lineRule="exact"/>
        <w:ind w:left="568" w:hanging="568"/>
        <w:rPr>
          <w:color w:val="000000"/>
        </w:rPr>
      </w:pPr>
      <w:r>
        <w:rPr>
          <w:rFonts w:ascii="Arial 2" w:hAnsi="Arial 2" w:eastAsia="Arial 2" w:cs="Arial 2"/>
          <w:b/>
          <w:bCs/>
          <w:i w:val="0"/>
          <w:iCs w:val="0"/>
          <w:color w:val="000000"/>
          <w:sz w:val="24"/>
          <w:szCs w:val="24"/>
          <w:kern w:val="2"/>
        </w:rPr>
        <w:t xml:space="preserve">Spolupráce se středisky a centry EVVO, rodiči a dalšími institucemi</w:t>
      </w:r>
    </w:p>
    <w:p>
      <w:pPr>
        <w:tabs>
          <w:tab w:val="left" w:pos="1186"/>
        </w:tabs>
        <w:spacing w:before="108" w:line="280" w:lineRule="exact"/>
        <w:ind w:left="568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3.1. </w:t>
      </w:r>
      <w:r>
        <w:tab/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Pokračovat ve spolupráci se středisky EVVO 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- SEVER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Hradec Králové a</w:t>
      </w:r>
    </w:p>
    <w:p>
      <w:pPr>
        <w:spacing w:line="276" w:lineRule="exact"/>
        <w:ind w:left="1133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Horní Maršov, Svazem ochránců přírody Jaroměř, Muzeem HK </w:t>
      </w:r>
    </w:p>
    <w:p>
      <w:pPr>
        <w:tabs>
          <w:tab w:val="left" w:pos="7805"/>
        </w:tabs>
        <w:spacing w:line="277" w:lineRule="exact"/>
        <w:ind w:left="136"/>
      </w:pPr>
      <w:r>
        <w:tab/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T: celoročně</w:t>
      </w:r>
    </w:p>
    <w:p>
      <w:pPr>
        <w:tabs>
          <w:tab w:val="left" w:pos="1186"/>
        </w:tabs>
        <w:spacing w:line="276" w:lineRule="exact"/>
        <w:ind w:left="568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3.2.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Pomoci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při organizaci významných dnů 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s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ekologickou tématikou </w:t>
      </w:r>
    </w:p>
    <w:p>
      <w:pPr>
        <w:spacing w:line="276" w:lineRule="exact"/>
        <w:ind w:left="1133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Den Země, Den zemědělství</w:t>
      </w:r>
    </w:p>
    <w:p>
      <w:pPr>
        <w:tabs>
          <w:tab w:val="left" w:pos="7268"/>
        </w:tabs>
        <w:spacing w:line="276" w:lineRule="exact"/>
        <w:jc w:val="right"/>
      </w:pP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       T: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celoročně</w:t>
      </w:r>
    </w:p>
    <w:p>
      <w:pPr>
        <w:tabs>
          <w:tab w:val="left" w:pos="1186"/>
        </w:tabs>
        <w:spacing w:line="276" w:lineRule="exact"/>
        <w:ind w:left="568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3.3. </w:t>
      </w:r>
      <w:r>
        <w:tab/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Spolupráce s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informačním centrem ČEZ Hradec Králové (Hučák)</w:t>
      </w:r>
    </w:p>
    <w:p>
      <w:pPr>
        <w:tabs>
          <w:tab w:val="left" w:pos="1854"/>
          <w:tab w:val="left" w:pos="2846"/>
          <w:tab w:val="left" w:pos="3555"/>
          <w:tab w:val="left" w:pos="4263"/>
          <w:tab w:val="left" w:pos="4971"/>
          <w:tab w:val="left" w:pos="5680"/>
          <w:tab w:val="left" w:pos="6388"/>
          <w:tab w:val="left" w:pos="7096"/>
          <w:tab w:val="left" w:pos="7805"/>
        </w:tabs>
        <w:spacing w:line="276" w:lineRule="exact"/>
        <w:ind w:left="1236"/>
      </w:pP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T: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celoročně</w:t>
      </w:r>
    </w:p>
    <w:p>
      <w:pPr>
        <w:tabs>
          <w:tab w:val="left" w:pos="1186"/>
          <w:tab w:val="left" w:pos="5720"/>
          <w:tab w:val="left" w:pos="6428"/>
          <w:tab w:val="left" w:pos="7136"/>
        </w:tabs>
        <w:spacing w:before="240" w:line="280" w:lineRule="exact"/>
        <w:ind w:left="568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3.4. </w:t>
      </w:r>
      <w:r>
        <w:tab/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Účast v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síti škol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M.R.K.E.V           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        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T: celoročně</w:t>
      </w:r>
    </w:p>
    <w:p>
      <w:pPr>
        <w:tabs>
          <w:tab w:val="left" w:pos="1186"/>
        </w:tabs>
        <w:spacing w:before="244" w:line="276" w:lineRule="exact"/>
        <w:ind w:left="568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3.5. </w:t>
      </w:r>
      <w:r>
        <w:tab/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Pokrčovat ve spolupráci se ZŠ a MŠ a dalšími výchovně vzdělávacími</w:t>
      </w:r>
    </w:p>
    <w:p>
      <w:pPr>
        <w:spacing w:line="276" w:lineRule="exact"/>
        <w:ind w:left="1133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institucemi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–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společně organizovat akce pro děti</w:t>
      </w:r>
    </w:p>
    <w:p>
      <w:pPr>
        <w:tabs>
          <w:tab w:val="left" w:pos="7805"/>
        </w:tabs>
        <w:spacing w:line="276" w:lineRule="exact"/>
        <w:ind w:left="136"/>
      </w:pPr>
      <w:r>
        <w:tab/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T: celoročně</w:t>
      </w:r>
    </w:p>
    <w:p>
      <w:pPr>
        <w:spacing w:before="1781" w:line="280" w:lineRule="exact"/>
        <w:jc w:val="center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 xml:space="preserve">1</w:t>
      </w:r>
    </w:p>
    <w:p>
      <w:pPr>
        <w:pageBreakBefore/>
        <w:spacing w:before="0" w:after="0" w:line="0" w:lineRule="exact"/>
        <w:rPr>
          <w:sz w:val="2"/>
          <w:szCs w:val="2"/>
        </w:rPr>
      </w:pPr>
    </w:p>
    <w:p>
      <w:pPr>
        <w:numPr>
          <w:ilvl w:val="0"/>
          <w:numId w:val="4"/>
        </w:numPr>
        <w:spacing w:before="843" w:line="280" w:lineRule="exact"/>
        <w:ind w:left="356" w:hanging="356"/>
        <w:rPr>
          <w:color w:val="000000"/>
        </w:rPr>
      </w:pPr>
      <w:r>
        <w:rPr>
          <w:rFonts w:ascii="Arial 2" w:hAnsi="Arial 2" w:eastAsia="Arial 2" w:cs="Arial 2"/>
          <w:b/>
          <w:bCs/>
          <w:i w:val="0"/>
          <w:iCs w:val="0"/>
          <w:color w:val="000000"/>
          <w:sz w:val="24"/>
          <w:szCs w:val="24"/>
          <w:kern w:val="2"/>
        </w:rPr>
        <w:t xml:space="preserve">Vzdělávání</w:t>
      </w:r>
    </w:p>
    <w:p>
      <w:pPr>
        <w:tabs>
          <w:tab w:val="left" w:pos="1133"/>
        </w:tabs>
        <w:spacing w:before="116" w:line="280" w:lineRule="exact"/>
        <w:ind w:left="568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4.1. </w:t>
      </w:r>
      <w:r>
        <w:tab/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Účast koordinátora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a dalších učitelů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na seminářích či akcích pořádaných</w:t>
      </w:r>
    </w:p>
    <w:p>
      <w:pPr>
        <w:spacing w:line="276" w:lineRule="exact"/>
        <w:ind w:left="1133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ekologickými organizacemi</w:t>
      </w:r>
    </w:p>
    <w:p>
      <w:pPr>
        <w:tabs>
          <w:tab w:val="left" w:pos="709"/>
          <w:tab w:val="left" w:pos="1416"/>
          <w:tab w:val="left" w:pos="2125"/>
          <w:tab w:val="left" w:pos="2833"/>
          <w:tab w:val="left" w:pos="3541"/>
          <w:tab w:val="left" w:pos="4249"/>
          <w:tab w:val="left" w:pos="4958"/>
          <w:tab w:val="left" w:pos="5666"/>
          <w:tab w:val="left" w:pos="6374"/>
          <w:tab w:val="left" w:pos="7083"/>
        </w:tabs>
        <w:spacing w:line="276" w:lineRule="exact"/>
      </w:pP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T: dle nabídky</w:t>
      </w:r>
    </w:p>
    <w:p>
      <w:pPr>
        <w:spacing w:before="276" w:line="276" w:lineRule="exact"/>
        <w:ind w:left="1133" w:hanging="564"/>
        <w:jc w:val="both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4.2.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Zajistit pro žáky 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3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. ročníku 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v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předmětu 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ekologie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výukové programy dle nabídky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středisek (téma udržitelnost, významné přírodní lokality, FairTrade, ekologické principy v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domácnostech, vliv člověka na utváření krajiny, ekosystémy)</w:t>
      </w:r>
    </w:p>
    <w:p>
      <w:pPr>
        <w:spacing w:line="276" w:lineRule="exact"/>
        <w:ind w:left="7083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T: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dle nabídky</w:t>
      </w:r>
    </w:p>
    <w:p>
      <w:pPr>
        <w:tabs>
          <w:tab w:val="left" w:pos="1133"/>
        </w:tabs>
        <w:spacing w:line="276" w:lineRule="exact"/>
        <w:ind w:left="568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4.3. </w:t>
      </w:r>
      <w:r>
        <w:tab/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Budovat materiální zázemí podporující výuku EVVO </w:t>
      </w:r>
    </w:p>
    <w:p>
      <w:pPr>
        <w:tabs>
          <w:tab w:val="left" w:pos="1396"/>
          <w:tab w:val="left" w:pos="2105"/>
          <w:tab w:val="left" w:pos="2813"/>
          <w:tab w:val="left" w:pos="3521"/>
          <w:tab w:val="left" w:pos="4229"/>
          <w:tab w:val="left" w:pos="4938"/>
          <w:tab w:val="left" w:pos="5646"/>
          <w:tab w:val="left" w:pos="6354"/>
          <w:tab w:val="left" w:pos="7063"/>
        </w:tabs>
        <w:spacing w:line="276" w:lineRule="exact"/>
        <w:jc w:val="center"/>
      </w:pP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T: celoročně</w:t>
      </w:r>
    </w:p>
    <w:p>
      <w:pPr>
        <w:tabs>
          <w:tab w:val="left" w:pos="1133"/>
        </w:tabs>
        <w:spacing w:before="276" w:line="276" w:lineRule="exact"/>
        <w:ind w:left="568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4.4. </w:t>
      </w:r>
      <w:r>
        <w:tab/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Účast koordinátora EVVO na krajské konferenci Kapradí</w:t>
      </w:r>
    </w:p>
    <w:p>
      <w:pPr>
        <w:spacing w:line="276" w:lineRule="exact"/>
        <w:ind w:left="7083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T: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dle nabídky</w:t>
      </w:r>
    </w:p>
    <w:p>
      <w:pPr>
        <w:numPr>
          <w:ilvl w:val="0"/>
          <w:numId w:val="5"/>
        </w:numPr>
        <w:spacing w:before="237" w:line="280" w:lineRule="exact"/>
        <w:ind w:left="356" w:hanging="356"/>
        <w:rPr>
          <w:color w:val="000000"/>
        </w:rPr>
      </w:pPr>
      <w:r>
        <w:rPr>
          <w:rFonts w:ascii="Arial" w:hAnsi="Arial" w:eastAsia="Arial" w:cs="Arial"/>
          <w:b/>
          <w:bCs/>
          <w:i w:val="0"/>
          <w:iCs w:val="0"/>
          <w:color w:val="000000"/>
          <w:sz w:val="24"/>
          <w:szCs w:val="24"/>
          <w:kern w:val="2"/>
        </w:rPr>
        <w:t xml:space="preserve">Kurzy, besedy, projekty, exkurze, </w:t>
      </w:r>
      <w:r>
        <w:rPr>
          <w:rFonts w:ascii="Arial 2" w:hAnsi="Arial 2" w:eastAsia="Arial 2" w:cs="Arial 2"/>
          <w:b/>
          <w:bCs/>
          <w:i w:val="0"/>
          <w:iCs w:val="0"/>
          <w:color w:val="000000"/>
          <w:sz w:val="24"/>
          <w:szCs w:val="24"/>
          <w:kern w:val="2"/>
        </w:rPr>
        <w:t xml:space="preserve">integrovaná tematická výuka, soutěže</w:t>
      </w:r>
    </w:p>
    <w:p>
      <w:pPr>
        <w:tabs>
          <w:tab w:val="left" w:pos="1276"/>
        </w:tabs>
        <w:spacing w:before="116" w:line="280" w:lineRule="exact"/>
        <w:ind w:left="568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5.1.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Projektov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é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dny a ITV:</w:t>
      </w:r>
    </w:p>
    <w:p>
      <w:pPr>
        <w:spacing w:line="276" w:lineRule="exact"/>
        <w:ind w:left="1416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Den Země</w:t>
      </w:r>
    </w:p>
    <w:p>
      <w:pPr>
        <w:spacing w:line="276" w:lineRule="exact"/>
        <w:ind w:left="1416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Den s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prvky ochrany člověka za mimořádných událostí a nácvik první 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pomoci</w:t>
      </w:r>
    </w:p>
    <w:p>
      <w:pPr>
        <w:spacing w:line="276" w:lineRule="exact"/>
        <w:ind w:left="1416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Z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pívání na schodech a vánoční koncert</w:t>
      </w:r>
    </w:p>
    <w:p>
      <w:pPr>
        <w:spacing w:line="276" w:lineRule="exact"/>
        <w:ind w:left="1416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Den s přírodou</w:t>
      </w:r>
    </w:p>
    <w:p>
      <w:pPr>
        <w:tabs>
          <w:tab w:val="left" w:pos="6383"/>
        </w:tabs>
        <w:spacing w:line="276" w:lineRule="exact"/>
        <w:ind w:left="1416"/>
      </w:pP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T: dle rámcového plánu</w:t>
      </w:r>
    </w:p>
    <w:p>
      <w:pPr>
        <w:spacing w:before="276" w:line="276" w:lineRule="exact"/>
        <w:ind w:left="1276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Vícedenní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kurzy:</w:t>
      </w:r>
    </w:p>
    <w:p>
      <w:pPr>
        <w:spacing w:line="276" w:lineRule="exact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Adaptační kurzy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:  T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ábor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J. A. Komenského Běleč    </w:t>
      </w:r>
    </w:p>
    <w:p>
      <w:pPr>
        <w:tabs>
          <w:tab w:val="left" w:pos="709"/>
          <w:tab w:val="left" w:pos="1416"/>
          <w:tab w:val="left" w:pos="2125"/>
          <w:tab w:val="left" w:pos="2833"/>
        </w:tabs>
        <w:spacing w:line="276" w:lineRule="exact"/>
      </w:pP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     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Sportovní a wellness areál Bret Žacléř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                    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Přírodovědný kurz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: 2-3 dny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dle nabídky</w:t>
      </w:r>
    </w:p>
    <w:p>
      <w:pPr>
        <w:tabs>
          <w:tab w:val="left" w:pos="1276"/>
        </w:tabs>
        <w:spacing w:before="275" w:line="277" w:lineRule="exact"/>
        <w:ind w:left="568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5.2.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V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ýukové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programy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Střediska ekologické výchovy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Sever HK:</w:t>
      </w:r>
    </w:p>
    <w:p>
      <w:pPr>
        <w:spacing w:line="277" w:lineRule="exact"/>
        <w:ind w:left="1276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E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kologická exkurze a terénní cvičení na PP Na Plachtě</w:t>
      </w:r>
    </w:p>
    <w:p>
      <w:pPr>
        <w:spacing w:line="276" w:lineRule="exact"/>
        <w:ind w:left="6374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T: dle nabídky</w:t>
      </w:r>
    </w:p>
    <w:p>
      <w:pPr>
        <w:tabs>
          <w:tab w:val="left" w:pos="1276"/>
        </w:tabs>
        <w:spacing w:before="276" w:line="276" w:lineRule="exact"/>
        <w:ind w:left="568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5.3. </w:t>
      </w:r>
      <w:r>
        <w:tab/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Návštěva Východočeského m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uzea v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Hradci Králové</w:t>
      </w:r>
    </w:p>
    <w:p>
      <w:pPr>
        <w:tabs>
          <w:tab w:val="left" w:pos="1276"/>
          <w:tab w:val="left" w:pos="2125"/>
          <w:tab w:val="left" w:pos="2833"/>
          <w:tab w:val="left" w:pos="3541"/>
          <w:tab w:val="left" w:pos="4249"/>
          <w:tab w:val="left" w:pos="4958"/>
          <w:tab w:val="left" w:pos="5666"/>
          <w:tab w:val="left" w:pos="6374"/>
        </w:tabs>
        <w:spacing w:line="276" w:lineRule="exact"/>
        <w:ind w:left="568"/>
      </w:pP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T: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dle nabídky</w:t>
      </w:r>
    </w:p>
    <w:p>
      <w:pPr>
        <w:tabs>
          <w:tab w:val="left" w:pos="1276"/>
        </w:tabs>
        <w:spacing w:before="276" w:line="276" w:lineRule="exact"/>
        <w:ind w:left="568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5.4.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Exkurze:</w:t>
      </w:r>
    </w:p>
    <w:p>
      <w:pPr>
        <w:spacing w:line="276" w:lineRule="exact"/>
        <w:ind w:left="1276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Chráněné území Plachta 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-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přírodní poklady </w:t>
      </w:r>
    </w:p>
    <w:p>
      <w:pPr>
        <w:spacing w:line="276" w:lineRule="exact"/>
        <w:ind w:left="1276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Hvězdárna 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HK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–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Sluneční soustava </w:t>
      </w:r>
    </w:p>
    <w:p>
      <w:pPr>
        <w:spacing w:line="276" w:lineRule="exact"/>
        <w:ind w:left="1276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Informační centrum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obnoviteln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ých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zdroj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ů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(Hučák)</w:t>
      </w:r>
    </w:p>
    <w:p>
      <w:pPr>
        <w:spacing w:line="276" w:lineRule="exact"/>
        <w:ind w:left="1276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Archeologické centrum Všestary</w:t>
      </w:r>
    </w:p>
    <w:p>
      <w:pPr>
        <w:spacing w:line="276" w:lineRule="exact"/>
        <w:ind w:left="1276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Skanzen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Krňovice</w:t>
      </w:r>
    </w:p>
    <w:p>
      <w:pPr>
        <w:spacing w:line="276" w:lineRule="exact"/>
        <w:ind w:left="1276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IQ park Liberec</w:t>
      </w:r>
    </w:p>
    <w:p>
      <w:pPr>
        <w:spacing w:line="276" w:lineRule="exact"/>
        <w:ind w:left="1276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ZOO Dvůr Králové nad Labem </w:t>
      </w:r>
    </w:p>
    <w:p>
      <w:pPr>
        <w:spacing w:line="276" w:lineRule="exact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Postřižinský pivovar v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Nymburce</w:t>
      </w:r>
    </w:p>
    <w:p>
      <w:pPr>
        <w:spacing w:line="276" w:lineRule="exact"/>
        <w:ind w:left="1273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Marius Pedersen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, Recyklační centrum Černá nad Bory</w:t>
      </w:r>
    </w:p>
    <w:p>
      <w:pPr>
        <w:spacing w:line="277" w:lineRule="exact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Solná komora –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exkurze do solného dolu </w:t>
      </w:r>
    </w:p>
    <w:p>
      <w:pPr>
        <w:spacing w:line="276" w:lineRule="exact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Napos a Malá vodní elektrárna Předměřice nad Labem</w:t>
      </w:r>
    </w:p>
    <w:p>
      <w:pPr>
        <w:spacing w:before="272" w:line="280" w:lineRule="exact"/>
        <w:jc w:val="right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T: dle zařazení v TP a RP</w:t>
      </w:r>
    </w:p>
    <w:p>
      <w:pPr>
        <w:spacing w:before="0" w:after="0" w:line="0" w:lineRule="exact"/>
        <w:rPr>
          <w:sz w:val="2"/>
          <w:szCs w:val="2"/>
        </w:rPr>
      </w:pPr>
    </w:p>
    <w:p>
      <w:pPr>
        <w:tabs>
          <w:tab w:val="left" w:pos="1276"/>
        </w:tabs>
        <w:spacing w:before="1674" w:line="276" w:lineRule="exact"/>
        <w:ind w:left="568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5.5.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Projekty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školní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a KÚ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:</w:t>
      </w:r>
    </w:p>
    <w:p>
      <w:pPr>
        <w:spacing w:line="276" w:lineRule="exact"/>
        <w:ind w:left="1276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Voda a já –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Země modrá planeta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, Fair Trade,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Ekoznačky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, Bezobalu,</w:t>
      </w:r>
    </w:p>
    <w:p>
      <w:pPr>
        <w:spacing w:line="276" w:lineRule="exact"/>
        <w:ind w:left="1276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Herbář rostlin</w:t>
      </w:r>
    </w:p>
    <w:p>
      <w:pPr>
        <w:spacing w:line="276" w:lineRule="exact"/>
        <w:jc w:val="right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zařazení v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TP a RP</w:t>
      </w:r>
    </w:p>
    <w:p>
      <w:pPr>
        <w:tabs>
          <w:tab w:val="left" w:pos="1276"/>
        </w:tabs>
        <w:spacing w:before="276" w:line="276" w:lineRule="exact"/>
        <w:ind w:left="568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5.6. </w:t>
      </w:r>
      <w:r>
        <w:tab/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Školní kola soutěží: fotografování, malování</w:t>
      </w:r>
    </w:p>
    <w:p>
      <w:pPr>
        <w:spacing w:line="276" w:lineRule="exact"/>
        <w:jc w:val="right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T: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dle rámcového plánu</w:t>
      </w:r>
    </w:p>
    <w:p>
      <w:pPr>
        <w:tabs>
          <w:tab w:val="left" w:pos="1276"/>
        </w:tabs>
        <w:spacing w:before="276" w:line="276" w:lineRule="exact"/>
        <w:ind w:left="568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5.7. </w:t>
      </w:r>
      <w:r>
        <w:tab/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Pokračování ve spolupráci s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Fair Trade ČR</w:t>
      </w:r>
    </w:p>
    <w:p>
      <w:pPr>
        <w:spacing w:line="276" w:lineRule="exact"/>
        <w:ind w:left="672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T: průběžně</w:t>
      </w:r>
    </w:p>
    <w:p>
      <w:pPr>
        <w:tabs>
          <w:tab w:val="left" w:pos="1276"/>
        </w:tabs>
        <w:spacing w:before="275" w:line="277" w:lineRule="exact"/>
        <w:ind w:left="568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5.8. </w:t>
      </w:r>
      <w:r>
        <w:tab/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Příprava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nových projektů </w:t>
      </w:r>
    </w:p>
    <w:p>
      <w:pPr>
        <w:tabs>
          <w:tab w:val="right" w:pos="9140"/>
        </w:tabs>
        <w:spacing w:line="277" w:lineRule="exact"/>
        <w:jc w:val="center"/>
      </w:pPr>
      <w:r>
        <w:tab/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T: dle nabídky</w:t>
      </w:r>
    </w:p>
    <w:p>
      <w:pPr>
        <w:numPr>
          <w:ilvl w:val="0"/>
          <w:numId w:val="6"/>
        </w:numPr>
        <w:spacing w:before="512" w:line="280" w:lineRule="exact"/>
        <w:ind w:left="568" w:hanging="568"/>
        <w:rPr>
          <w:color w:val="000000"/>
        </w:rPr>
      </w:pPr>
      <w:r>
        <w:rPr>
          <w:rFonts w:ascii="Arial 2" w:hAnsi="Arial 2" w:eastAsia="Arial 2" w:cs="Arial 2"/>
          <w:b/>
          <w:bCs/>
          <w:i w:val="0"/>
          <w:iCs w:val="0"/>
          <w:color w:val="000000"/>
          <w:sz w:val="24"/>
          <w:szCs w:val="24"/>
          <w:kern w:val="2"/>
        </w:rPr>
        <w:t xml:space="preserve">Ekologizace školy</w:t>
      </w:r>
    </w:p>
    <w:p>
      <w:pPr>
        <w:tabs>
          <w:tab w:val="left" w:pos="1276"/>
        </w:tabs>
        <w:spacing w:before="116" w:line="280" w:lineRule="exact"/>
        <w:ind w:left="568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6.1. </w:t>
      </w:r>
      <w:r>
        <w:tab/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Přednostně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nakupovat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a použí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vat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ekologicky šetrné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a recyklovan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é</w:t>
      </w:r>
    </w:p>
    <w:p>
      <w:pPr>
        <w:spacing w:line="276" w:lineRule="exact"/>
        <w:ind w:left="1276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výrobk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y.</w:t>
      </w:r>
    </w:p>
    <w:p>
      <w:pPr>
        <w:tabs>
          <w:tab w:val="left" w:pos="709"/>
          <w:tab w:val="right" w:pos="9140"/>
        </w:tabs>
        <w:spacing w:line="276" w:lineRule="exact"/>
        <w:ind w:left="136"/>
      </w:pP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T: celoročně </w:t>
      </w:r>
    </w:p>
    <w:p>
      <w:pPr>
        <w:tabs>
          <w:tab w:val="left" w:pos="1276"/>
        </w:tabs>
        <w:spacing w:line="276" w:lineRule="exact"/>
        <w:ind w:left="568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6.2. </w:t>
      </w:r>
      <w:r>
        <w:tab/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Pokračovat ve vytváření estetického prostředí.</w:t>
      </w:r>
    </w:p>
    <w:p>
      <w:pPr>
        <w:tabs>
          <w:tab w:val="left" w:pos="709"/>
          <w:tab w:val="right" w:pos="9140"/>
        </w:tabs>
        <w:spacing w:line="276" w:lineRule="exact"/>
        <w:ind w:left="136"/>
      </w:pP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T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: celoročně</w:t>
      </w:r>
    </w:p>
    <w:p>
      <w:pPr>
        <w:spacing w:before="276" w:line="276" w:lineRule="exact"/>
        <w:ind w:left="1276" w:hanging="708"/>
        <w:jc w:val="both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6.3. Usilovat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ve spolupráci žáků, učitelů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a ostatní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ch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zaměstnanců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školy 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o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ekologizaci školy –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šetření energií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,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třídění odpadů (dbát na správné třídění 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a odvoz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odpadů), použív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at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ekologicky šetrné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výrobk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y.</w:t>
      </w:r>
    </w:p>
    <w:p>
      <w:pPr>
        <w:tabs>
          <w:tab w:val="left" w:pos="709"/>
          <w:tab w:val="right" w:pos="9140"/>
        </w:tabs>
        <w:spacing w:line="276" w:lineRule="exact"/>
        <w:ind w:left="136"/>
      </w:pP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T: celoročně</w:t>
      </w:r>
    </w:p>
    <w:p>
      <w:pPr>
        <w:tabs>
          <w:tab w:val="left" w:pos="709"/>
        </w:tabs>
        <w:spacing w:line="276" w:lineRule="exact"/>
        <w:ind w:left="136"/>
      </w:pP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</w:p>
    <w:p>
      <w:pPr>
        <w:tabs>
          <w:tab w:val="left" w:pos="1276"/>
        </w:tabs>
        <w:spacing w:line="276" w:lineRule="exact"/>
        <w:ind w:left="568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6.4. </w:t>
      </w:r>
      <w:r>
        <w:tab/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Průběžně, ve spolupráci se žáky a učiteli navrhnout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úprav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u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školní</w:t>
      </w:r>
    </w:p>
    <w:p>
      <w:pPr>
        <w:spacing w:line="277" w:lineRule="exact"/>
        <w:ind w:left="1276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zahrady.</w:t>
      </w:r>
    </w:p>
    <w:p>
      <w:pPr>
        <w:tabs>
          <w:tab w:val="left" w:pos="1416"/>
          <w:tab w:val="left" w:pos="2125"/>
          <w:tab w:val="left" w:pos="2833"/>
          <w:tab w:val="left" w:pos="3541"/>
          <w:tab w:val="left" w:pos="4249"/>
          <w:tab w:val="left" w:pos="4958"/>
          <w:tab w:val="left" w:pos="5666"/>
          <w:tab w:val="left" w:pos="6374"/>
        </w:tabs>
        <w:spacing w:line="276" w:lineRule="exact"/>
        <w:ind w:left="572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tab/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                  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T: celoročně</w:t>
      </w:r>
    </w:p>
    <w:p>
      <w:pPr>
        <w:numPr>
          <w:ilvl w:val="0"/>
          <w:numId w:val="7"/>
        </w:numPr>
        <w:spacing w:before="512" w:line="280" w:lineRule="exact"/>
        <w:ind w:left="568" w:hanging="568"/>
        <w:rPr>
          <w:color w:val="000000"/>
        </w:rPr>
      </w:pPr>
      <w:r>
        <w:rPr>
          <w:rFonts w:ascii="Arial 2" w:hAnsi="Arial 2" w:eastAsia="Arial 2" w:cs="Arial 2"/>
          <w:b/>
          <w:bCs/>
          <w:i w:val="0"/>
          <w:iCs w:val="0"/>
          <w:color w:val="000000"/>
          <w:sz w:val="24"/>
          <w:szCs w:val="24"/>
          <w:kern w:val="2"/>
        </w:rPr>
        <w:t xml:space="preserve">Získávání finančních prostředků</w:t>
      </w:r>
    </w:p>
    <w:p>
      <w:pPr>
        <w:spacing w:before="120" w:line="276" w:lineRule="exact"/>
        <w:ind w:left="1276" w:hanging="708"/>
        <w:jc w:val="both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7.1.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Vyhledávat příležitosti k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získání prostředků na financování aktivit EVVO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formou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žádostí o granty, případně z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jiných mimorozpočtových zdrojů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, na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pobyty žáků na adaptačních kurzech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,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na úpravu školní zahrady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, na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vybavení učeb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e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n přírodních věd</w:t>
      </w:r>
    </w:p>
    <w:p>
      <w:pPr>
        <w:tabs>
          <w:tab w:val="right" w:pos="9140"/>
        </w:tabs>
        <w:spacing w:line="280" w:lineRule="exact"/>
        <w:ind w:left="496"/>
      </w:pPr>
      <w:r>
        <w:tab/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T: celoročně</w:t>
      </w:r>
    </w:p>
    <w:p>
      <w:pPr>
        <w:spacing w:before="272" w:line="280" w:lineRule="exact"/>
      </w:pP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V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Hradci Králové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 1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. září 20</w:t>
      </w:r>
      <w:r>
        <w:rPr>
          <w:rFonts w:ascii="Arial 2" w:hAnsi="Arial 2" w:eastAsia="Arial 2" w:cs="Arial 2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25</w:t>
      </w:r>
    </w:p>
    <w:p>
      <w:pPr>
        <w:spacing w:before="552" w:line="276" w:lineRule="exact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Mgr. Lubomíra Moravcová </w:t>
      </w:r>
    </w:p>
    <w:p>
      <w:pPr>
        <w:spacing w:line="276" w:lineRule="exact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  <w:kern w:val="2"/>
        </w:rPr>
        <w:t xml:space="preserve">koordinátorka EVVO</w:t>
      </w:r>
    </w:p>
    <w:sectPr>
      <w:pgSz w:w="11904" w:h="16836"/>
      <w:pgMar w:top="574" w:right="1136" w:bottom="720" w:left="1363" w:header="0" w:footer="0" w:gutter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00000000000000000"/>
    <w:charset w:val="01"/>
    <w:family w:val="roman"/>
    <w:notTrueType w:val="off"/>
    <w:pitch w:val="variable"/>
    <w:sig w:usb0="01010101" w:usb1="01010101" w:usb2="01010101" w:usb3="01010101" w:csb0="01010101" w:csb1="01010101"/>
    <w:embedRegular r:id="rIdFont0" w:fontKey="{1AF6547B-60A4-4A06-AC72-F48FF018F609}"/>
  </w:font>
  <w:font w:name="Arial">
    <w:panose1 w:val="02000000000000000000"/>
    <w:charset w:val="01"/>
    <w:family w:val="swiss"/>
    <w:notTrueType w:val="off"/>
    <w:pitch w:val="variable"/>
    <w:sig w:usb0="01010101" w:usb1="01010101" w:usb2="01010101" w:usb3="01010101" w:csb0="01010101" w:csb1="01010101"/>
    <w:embedBold r:id="rIdFont1" w:fontKey="{693F6582-97B9-4845-AA7E-73769E171FEB}"/>
    <w:embedRegular r:id="rIdFont3" w:fontKey="{799F818A-418A-4543-B32A-BB3DF69259E3}"/>
  </w:font>
  <w:font w:name="Arial 2">
    <w:altName w:val="Arial"/>
    <w:panose1 w:val="02000000000000000000"/>
    <w:charset w:val="01"/>
    <w:family w:val="swiss"/>
    <w:notTrueType w:val="off"/>
    <w:pitch w:val="variable"/>
    <w:sig w:usb0="01010101" w:usb1="01010101" w:usb2="01010101" w:usb3="01010101" w:csb0="01010101" w:csb1="01010101"/>
    <w:embedBold r:id="rIdFont2" w:fontKey="{BC6C0C7B-1E27-4191-8523-0430326656AA}"/>
    <w:embedRegular r:id="rIdFont4" w:fontKey="{C6D1BC1C-86E1-4EBC-BAAA-C1EC5274F96A}"/>
  </w:font>
</w:fonts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20" w:hanging="360"/>
      </w:pPr>
    </w:lvl>
    <w:lvl w:ilvl="2">
      <w:start w:val="1"/>
      <w:numFmt w:val="bullet"/>
      <w:lvlText w:val="▪"/>
      <w:lvlJc w:val="left"/>
      <w:pPr>
        <w:ind w:left="1080" w:hanging="360"/>
      </w:pPr>
    </w:lvl>
    <w:lvl w:ilvl="3">
      <w:start w:val="1"/>
      <w:numFmt w:val="bullet"/>
      <w:lvlText w:val="•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</w:lvl>
    <w:lvl w:ilvl="5">
      <w:start w:val="1"/>
      <w:numFmt w:val="bullet"/>
      <w:lvlText w:val="▪"/>
      <w:lvlJc w:val="left"/>
      <w:pPr>
        <w:ind w:left="2160" w:hanging="360"/>
      </w:pPr>
    </w:lvl>
    <w:lvl w:ilvl="6">
      <w:start w:val="1"/>
      <w:numFmt w:val="bullet"/>
      <w:lvlText w:val="•"/>
      <w:lvlJc w:val="left"/>
      <w:pPr>
        <w:ind w:left="2520" w:hanging="360"/>
      </w:pPr>
    </w:lvl>
    <w:lvl w:ilvl="7">
      <w:start w:val="1"/>
      <w:numFmt w:val="bullet"/>
      <w:lvlText w:val="o"/>
      <w:lvlJc w:val="left"/>
      <w:pPr>
        <w:ind w:left="2880" w:hanging="360"/>
      </w:pPr>
    </w:lvl>
    <w:lvl w:ilvl="8">
      <w:start w:val="1"/>
      <w:numFmt w:val="bullet"/>
      <w:lvlText w:val="▪"/>
      <w:lvlJc w:val="left"/>
      <w:pPr>
        <w:ind w:left="3240" w:hanging="360"/>
      </w:pPr>
    </w:lvl>
  </w:abstractNum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eastAsia="Arial" w:cs="Arial" w:hint="default"/>
        <w:sz w:val="24"/>
        <w:szCs w:val="24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eastAsia="Arial" w:cs="Arial" w:hint="default"/>
        <w:sz w:val="24"/>
        <w:szCs w:val="24"/>
        <w:b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eastAsia="Arial" w:cs="Arial" w:hint="default"/>
        <w:sz w:val="24"/>
        <w:szCs w:val="24"/>
        <w:b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eastAsia="Arial" w:cs="Arial" w:hint="default"/>
        <w:sz w:val="24"/>
        <w:szCs w:val="24"/>
        <w:b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eastAsia="Arial" w:cs="Arial" w:hint="default"/>
        <w:sz w:val="24"/>
        <w:szCs w:val="24"/>
        <w:b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eastAsia="Arial" w:cs="Arial" w:hint="default"/>
        <w:sz w:val="24"/>
        <w:szCs w:val="24"/>
        <w:b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eastAsia="Arial" w:cs="Arial" w:hint="default"/>
        <w:sz w:val="24"/>
        <w:szCs w:val="24"/>
        <w:b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eastAsia="Arial" w:cs="Arial" w:hint="default"/>
        <w:sz w:val="24"/>
        <w:szCs w:val="24"/>
        <w:b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eastAsia="Arial" w:cs="Arial" w:hint="default"/>
        <w:sz w:val="24"/>
        <w:szCs w:val="24"/>
        <w:b/>
      </w:rPr>
    </w:lvl>
  </w:abstractNum>
  <w:abstractNum w:abstractNumId="2"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eastAsia="Arial" w:cs="Arial" w:hint="default"/>
        <w:sz w:val="24"/>
        <w:szCs w:val="24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eastAsia="Arial" w:cs="Arial" w:hint="default"/>
        <w:sz w:val="24"/>
        <w:szCs w:val="24"/>
        <w:b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eastAsia="Arial" w:cs="Arial" w:hint="default"/>
        <w:sz w:val="24"/>
        <w:szCs w:val="24"/>
        <w:b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eastAsia="Arial" w:cs="Arial" w:hint="default"/>
        <w:sz w:val="24"/>
        <w:szCs w:val="24"/>
        <w:b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eastAsia="Arial" w:cs="Arial" w:hint="default"/>
        <w:sz w:val="24"/>
        <w:szCs w:val="24"/>
        <w:b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eastAsia="Arial" w:cs="Arial" w:hint="default"/>
        <w:sz w:val="24"/>
        <w:szCs w:val="24"/>
        <w:b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eastAsia="Arial" w:cs="Arial" w:hint="default"/>
        <w:sz w:val="24"/>
        <w:szCs w:val="24"/>
        <w:b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eastAsia="Arial" w:cs="Arial" w:hint="default"/>
        <w:sz w:val="24"/>
        <w:szCs w:val="24"/>
        <w:b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eastAsia="Arial" w:cs="Arial" w:hint="default"/>
        <w:sz w:val="24"/>
        <w:szCs w:val="24"/>
        <w:b/>
      </w:rPr>
    </w:lvl>
  </w:abstractNum>
  <w:abstractNum w:abstractNumId="3">
    <w:lvl w:ilvl="0">
      <w:start w:val="3"/>
      <w:numFmt w:val="decimal"/>
      <w:lvlText w:val="%1."/>
      <w:lvlJc w:val="left"/>
      <w:pPr>
        <w:ind w:left="360" w:hanging="360"/>
      </w:pPr>
      <w:rPr>
        <w:rFonts w:ascii="Arial" w:hAnsi="Arial" w:eastAsia="Arial" w:cs="Arial" w:hint="default"/>
        <w:sz w:val="24"/>
        <w:szCs w:val="24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eastAsia="Arial" w:cs="Arial" w:hint="default"/>
        <w:sz w:val="24"/>
        <w:szCs w:val="24"/>
        <w:b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eastAsia="Arial" w:cs="Arial" w:hint="default"/>
        <w:sz w:val="24"/>
        <w:szCs w:val="24"/>
        <w:b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eastAsia="Arial" w:cs="Arial" w:hint="default"/>
        <w:sz w:val="24"/>
        <w:szCs w:val="24"/>
        <w:b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eastAsia="Arial" w:cs="Arial" w:hint="default"/>
        <w:sz w:val="24"/>
        <w:szCs w:val="24"/>
        <w:b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eastAsia="Arial" w:cs="Arial" w:hint="default"/>
        <w:sz w:val="24"/>
        <w:szCs w:val="24"/>
        <w:b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eastAsia="Arial" w:cs="Arial" w:hint="default"/>
        <w:sz w:val="24"/>
        <w:szCs w:val="24"/>
        <w:b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eastAsia="Arial" w:cs="Arial" w:hint="default"/>
        <w:sz w:val="24"/>
        <w:szCs w:val="24"/>
        <w:b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eastAsia="Arial" w:cs="Arial" w:hint="default"/>
        <w:sz w:val="24"/>
        <w:szCs w:val="24"/>
        <w:b/>
      </w:rPr>
    </w:lvl>
  </w:abstractNum>
  <w:abstractNum w:abstractNumId="4">
    <w:lvl w:ilvl="0">
      <w:start w:val="4"/>
      <w:numFmt w:val="decimal"/>
      <w:lvlText w:val="%1."/>
      <w:lvlJc w:val="left"/>
      <w:pPr>
        <w:ind w:left="360" w:hanging="360"/>
      </w:pPr>
      <w:rPr>
        <w:rFonts w:ascii="Arial" w:hAnsi="Arial" w:eastAsia="Arial" w:cs="Arial" w:hint="default"/>
        <w:sz w:val="24"/>
        <w:szCs w:val="24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eastAsia="Arial" w:cs="Arial" w:hint="default"/>
        <w:sz w:val="24"/>
        <w:szCs w:val="24"/>
        <w:b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eastAsia="Arial" w:cs="Arial" w:hint="default"/>
        <w:sz w:val="24"/>
        <w:szCs w:val="24"/>
        <w:b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eastAsia="Arial" w:cs="Arial" w:hint="default"/>
        <w:sz w:val="24"/>
        <w:szCs w:val="24"/>
        <w:b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eastAsia="Arial" w:cs="Arial" w:hint="default"/>
        <w:sz w:val="24"/>
        <w:szCs w:val="24"/>
        <w:b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eastAsia="Arial" w:cs="Arial" w:hint="default"/>
        <w:sz w:val="24"/>
        <w:szCs w:val="24"/>
        <w:b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eastAsia="Arial" w:cs="Arial" w:hint="default"/>
        <w:sz w:val="24"/>
        <w:szCs w:val="24"/>
        <w:b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eastAsia="Arial" w:cs="Arial" w:hint="default"/>
        <w:sz w:val="24"/>
        <w:szCs w:val="24"/>
        <w:b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eastAsia="Arial" w:cs="Arial" w:hint="default"/>
        <w:sz w:val="24"/>
        <w:szCs w:val="24"/>
        <w:b/>
      </w:rPr>
    </w:lvl>
  </w:abstractNum>
  <w:abstractNum w:abstractNumId="5">
    <w:lvl w:ilvl="0">
      <w:start w:val="5"/>
      <w:numFmt w:val="decimal"/>
      <w:lvlText w:val="%1."/>
      <w:lvlJc w:val="left"/>
      <w:pPr>
        <w:ind w:left="360" w:hanging="360"/>
      </w:pPr>
      <w:rPr>
        <w:rFonts w:ascii="Arial" w:hAnsi="Arial" w:eastAsia="Arial" w:cs="Arial" w:hint="default"/>
        <w:sz w:val="24"/>
        <w:szCs w:val="24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eastAsia="Arial" w:cs="Arial" w:hint="default"/>
        <w:sz w:val="24"/>
        <w:szCs w:val="24"/>
        <w:b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eastAsia="Arial" w:cs="Arial" w:hint="default"/>
        <w:sz w:val="24"/>
        <w:szCs w:val="24"/>
        <w:b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eastAsia="Arial" w:cs="Arial" w:hint="default"/>
        <w:sz w:val="24"/>
        <w:szCs w:val="24"/>
        <w:b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eastAsia="Arial" w:cs="Arial" w:hint="default"/>
        <w:sz w:val="24"/>
        <w:szCs w:val="24"/>
        <w:b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eastAsia="Arial" w:cs="Arial" w:hint="default"/>
        <w:sz w:val="24"/>
        <w:szCs w:val="24"/>
        <w:b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eastAsia="Arial" w:cs="Arial" w:hint="default"/>
        <w:sz w:val="24"/>
        <w:szCs w:val="24"/>
        <w:b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eastAsia="Arial" w:cs="Arial" w:hint="default"/>
        <w:sz w:val="24"/>
        <w:szCs w:val="24"/>
        <w:b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eastAsia="Arial" w:cs="Arial" w:hint="default"/>
        <w:sz w:val="24"/>
        <w:szCs w:val="24"/>
        <w:b/>
      </w:rPr>
    </w:lvl>
  </w:abstractNum>
  <w:abstractNum w:abstractNumId="6">
    <w:lvl w:ilvl="0">
      <w:start w:val="6"/>
      <w:numFmt w:val="decimal"/>
      <w:lvlText w:val="%1."/>
      <w:lvlJc w:val="left"/>
      <w:pPr>
        <w:ind w:left="360" w:hanging="360"/>
      </w:pPr>
      <w:rPr>
        <w:rFonts w:ascii="Arial" w:hAnsi="Arial" w:eastAsia="Arial" w:cs="Arial" w:hint="default"/>
        <w:sz w:val="24"/>
        <w:szCs w:val="24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eastAsia="Arial" w:cs="Arial" w:hint="default"/>
        <w:sz w:val="24"/>
        <w:szCs w:val="24"/>
        <w:b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eastAsia="Arial" w:cs="Arial" w:hint="default"/>
        <w:sz w:val="24"/>
        <w:szCs w:val="24"/>
        <w:b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eastAsia="Arial" w:cs="Arial" w:hint="default"/>
        <w:sz w:val="24"/>
        <w:szCs w:val="24"/>
        <w:b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eastAsia="Arial" w:cs="Arial" w:hint="default"/>
        <w:sz w:val="24"/>
        <w:szCs w:val="24"/>
        <w:b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eastAsia="Arial" w:cs="Arial" w:hint="default"/>
        <w:sz w:val="24"/>
        <w:szCs w:val="24"/>
        <w:b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eastAsia="Arial" w:cs="Arial" w:hint="default"/>
        <w:sz w:val="24"/>
        <w:szCs w:val="24"/>
        <w:b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eastAsia="Arial" w:cs="Arial" w:hint="default"/>
        <w:sz w:val="24"/>
        <w:szCs w:val="24"/>
        <w:b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eastAsia="Arial" w:cs="Arial" w:hint="default"/>
        <w:sz w:val="24"/>
        <w:szCs w:val="24"/>
        <w:b/>
      </w:rPr>
    </w:lvl>
  </w:abstractNum>
  <w:abstractNum w:abstractNumId="7">
    <w:lvl w:ilvl="0">
      <w:start w:val="7"/>
      <w:numFmt w:val="decimal"/>
      <w:lvlText w:val="%1."/>
      <w:lvlJc w:val="left"/>
      <w:pPr>
        <w:ind w:left="360" w:hanging="360"/>
      </w:pPr>
      <w:rPr>
        <w:rFonts w:ascii="Arial" w:hAnsi="Arial" w:eastAsia="Arial" w:cs="Arial" w:hint="default"/>
        <w:sz w:val="24"/>
        <w:szCs w:val="24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eastAsia="Arial" w:cs="Arial" w:hint="default"/>
        <w:sz w:val="24"/>
        <w:szCs w:val="24"/>
        <w:b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eastAsia="Arial" w:cs="Arial" w:hint="default"/>
        <w:sz w:val="24"/>
        <w:szCs w:val="24"/>
        <w:b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eastAsia="Arial" w:cs="Arial" w:hint="default"/>
        <w:sz w:val="24"/>
        <w:szCs w:val="24"/>
        <w:b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eastAsia="Arial" w:cs="Arial" w:hint="default"/>
        <w:sz w:val="24"/>
        <w:szCs w:val="24"/>
        <w:b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eastAsia="Arial" w:cs="Arial" w:hint="default"/>
        <w:sz w:val="24"/>
        <w:szCs w:val="24"/>
        <w:b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eastAsia="Arial" w:cs="Arial" w:hint="default"/>
        <w:sz w:val="24"/>
        <w:szCs w:val="24"/>
        <w:b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eastAsia="Arial" w:cs="Arial" w:hint="default"/>
        <w:sz w:val="24"/>
        <w:szCs w:val="24"/>
        <w:b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eastAsia="Arial" w:cs="Arial" w:hint="default"/>
        <w:sz w:val="24"/>
        <w:szCs w:val="24"/>
        <w:b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2"/>
    </w:lvlOverride>
  </w:num>
  <w:num w:numId="3">
    <w:abstractNumId w:val="3"/>
    <w:lvlOverride w:ilvl="0">
      <w:startOverride w:val="3"/>
    </w:lvlOverride>
  </w:num>
  <w:num w:numId="4">
    <w:abstractNumId w:val="4"/>
    <w:lvlOverride w:ilvl="0">
      <w:startOverride w:val="4"/>
    </w:lvlOverride>
  </w:num>
  <w:num w:numId="5">
    <w:abstractNumId w:val="5"/>
    <w:lvlOverride w:ilvl="0">
      <w:startOverride w:val="5"/>
    </w:lvlOverride>
  </w:num>
  <w:num w:numId="6">
    <w:abstractNumId w:val="6"/>
    <w:lvlOverride w:ilvl="0">
      <w:startOverride w:val="6"/>
    </w:lvlOverride>
  </w:num>
  <w:num w:numId="7">
    <w:abstractNumId w:val="7"/>
    <w:lvlOverride w:ilvl="0">
      <w:startOverride w:val="7"/>
    </w:lvlOverride>
  </w:num>
</w:numbering>
</file>

<file path=word/settings.xml><?xml version="1.0" encoding="utf-8"?>
<w:settings xmlns:w="http://schemas.openxmlformats.org/wordprocessingml/2006/main">
  <w:embedTrueTypeFonts/>
  <w:embedSystemFonts/>
  <w:saveSubsetFonts w:val="false"/>
  <w:hideSpellingErrors/>
  <w:hideGrammaticalErrors/>
  <w:autoHyphenation w:val="true"/>
  <w:hyphenationZone w:val="425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2"/>
        <w:szCs w:val="22"/>
        <w:lang w:val="cs" w:eastAsia="zxx" w:bidi="zxx"/>
        <w:noProof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pPr>
      <w:widowControl w:val="0"/>
    </w:pPr>
  </w:style>
  <w:style w:type="paragraph" w:styleId="Heading1">
    <w:name w:val="heading 1"/>
    <w:basedOn w:val="Normal"/>
    <w:next w:val="Normal"/>
    <w:qFormat/>
    <w:pPr>
      <w:keepNext/>
      <w:outlineLvl w:val="0"/>
      <w:spacing w:before="240" w:after="60"/>
    </w:pPr>
    <w:rPr>
      <w:b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  <w:spacing w:before="240" w:after="60"/>
    </w:pPr>
    <w:rPr>
      <w:b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  <w:spacing w:before="240" w:after="60"/>
    </w:pPr>
    <w:rPr>
      <w:b/>
      <w:sz w:val="28"/>
      <w:szCs w:val="2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Numbering" Type="http://schemas.openxmlformats.org/officeDocument/2006/relationships/numbering" Target="numbering.xml"/><Relationship Id="rId2" Type="http://schemas.openxmlformats.org/officeDocument/2006/relationships/image" Target="media/image1.jpg"/><Relationship Id="rIdSettings" Type="http://schemas.openxmlformats.org/officeDocument/2006/relationships/settings" Target="settings.xml"/><Relationship Id="rIdFontTable" Type="http://schemas.openxmlformats.org/officeDocument/2006/relationships/fontTable" Target="fontTable.xml"/></Relationships>
</file>

<file path=word/_rels/fontTable.xml.rels><?xml version="1.0" encoding="UTF-8" standalone="yes"?><Relationships xmlns="http://schemas.openxmlformats.org/package/2006/relationships"><Relationship Id="rIdFont0" Type="http://schemas.openxmlformats.org/officeDocument/2006/relationships/font" Target="fonts/font0.odttf"/><Relationship Id="rIdFont1" Type="http://schemas.openxmlformats.org/officeDocument/2006/relationships/font" Target="fonts/font1.odttf"/><Relationship Id="rIdFont2" Type="http://schemas.openxmlformats.org/officeDocument/2006/relationships/font" Target="fonts/font2.odttf"/><Relationship Id="rIdFont3" Type="http://schemas.openxmlformats.org/officeDocument/2006/relationships/font" Target="fonts/font3.odttf"/><Relationship Id="rIdFont4" Type="http://schemas.openxmlformats.org/officeDocument/2006/relationships/font" Target="fonts/font4.odttf"/></Relationships>
</file>